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11 (Apache licensed) using REFERENCE JAXB in Eclipse Adoptium Java 17.0.8.1 on Linux --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ro-RO"/>
        </w:rPr>
        <w:t>Ordinul 3371/2024 pentru reacreditarea Muzeului Naţional de Artă al României, cu sediul în municipiul Bucureşti</w:t>
      </w:r>
      <w:r>
        <w:br/>
      </w:r>
      <w:r>
        <w:br/>
      </w:r>
    </w:p>
    <w:p>
      <w:pPr>
        <w:pStyle w:val="NormalStyle"/>
      </w:pPr>
      <w:r>
        <w:t>Ordinul 3371/2024 din 2024.11.12</w:t>
      </w:r>
    </w:p>
    <w:p>
      <w:pPr>
        <w:pStyle w:val="NormalStyle"/>
      </w:pPr>
      <w:r>
        <w:t xml:space="preserve">Status: Acte în vigoare </w:t>
      </w:r>
    </w:p>
    <w:p>
      <w:pPr>
        <w:pStyle w:val="NormalStyle"/>
      </w:pPr>
      <w:r>
        <w:t xml:space="preserve">Versiune de la: 12 Noiembrie 2024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ro-RO"/>
        </w:rPr>
        <w:t>Intră în vigoare:</w:t>
      </w:r>
    </w:p>
    <w:p>
      <w:pPr>
        <w:spacing w:after="15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>12 Noiembrie 2024 An</w:t>
      </w:r>
    </w:p>
    <w:p>
      <w:pPr>
        <w:spacing w:after="0"/>
        <w:ind w:left="0"/>
        <w:jc w:val="left"/>
        <w:textAlignment w:val="auto"/>
      </w:pP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ro-RO"/>
        </w:rPr>
        <w:t>Ordinul 3371/2024 pentru reacreditarea Muzeului Naţional de Artă al României, cu sediul în municipiul Bucureşti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>Dată act: 29-oct-2024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ro-RO"/>
        </w:rPr>
        <w:t>Emitent: Ministerul Culturii</w:t>
      </w:r>
    </w:p>
    <w:p>
      <w:pPr>
        <w:spacing w:before="80" w:after="240"/>
        <w:ind w:left="0"/>
        <w:jc w:val="center"/>
        <w:textAlignment w:val="auto"/>
      </w:pP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>În baza Propunerii Comisiei Naţionale a Muzeelor şi Colecţiilor nr. 6.712 din 22.10.2024,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 xml:space="preserve">în conformitate cu prevederile art. 11, 12 şi 18 din </w:t>
      </w:r>
      <w:r>
        <w:rPr>
          <w:rFonts w:ascii="Times New Roman"/>
          <w:b w:val="false"/>
          <w:i w:val="false"/>
          <w:color w:val="1b1b1b"/>
          <w:sz w:val="24"/>
          <w:lang w:val="ro-RO"/>
        </w:rPr>
        <w:t>Criteriile şi normele de acreditare a muzeelor şi a colecţiilor publice</w:t>
      </w:r>
      <w:r>
        <w:rPr>
          <w:rFonts w:ascii="Times New Roman"/>
          <w:b w:val="false"/>
          <w:i w:val="false"/>
          <w:color w:val="000000"/>
          <w:sz w:val="24"/>
          <w:lang w:val="ro-RO"/>
        </w:rPr>
        <w:t xml:space="preserve">, aprobate prin Ordinul ministrului culturii şi cultelor nr. </w:t>
      </w:r>
      <w:r>
        <w:rPr>
          <w:rFonts w:ascii="Times New Roman"/>
          <w:b w:val="false"/>
          <w:i w:val="false"/>
          <w:color w:val="1b1b1b"/>
          <w:sz w:val="24"/>
          <w:lang w:val="ro-RO"/>
        </w:rPr>
        <w:t>2.057/2007</w:t>
      </w:r>
      <w:r>
        <w:rPr>
          <w:rFonts w:ascii="Times New Roman"/>
          <w:b w:val="false"/>
          <w:i w:val="false"/>
          <w:color w:val="000000"/>
          <w:sz w:val="24"/>
          <w:lang w:val="ro-RO"/>
        </w:rPr>
        <w:t>,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 xml:space="preserve">în temeiul dispoziţiilor art. 18 alin. (1) şi (4) din Legea muzeelor şi a colecţiilor publice nr. </w:t>
      </w:r>
      <w:r>
        <w:rPr>
          <w:rFonts w:ascii="Times New Roman"/>
          <w:b w:val="false"/>
          <w:i w:val="false"/>
          <w:color w:val="1b1b1b"/>
          <w:sz w:val="24"/>
          <w:lang w:val="ro-RO"/>
        </w:rPr>
        <w:t>311/2003</w:t>
      </w:r>
      <w:r>
        <w:rPr>
          <w:rFonts w:ascii="Times New Roman"/>
          <w:b w:val="false"/>
          <w:i w:val="false"/>
          <w:color w:val="000000"/>
          <w:sz w:val="24"/>
          <w:lang w:val="ro-RO"/>
        </w:rPr>
        <w:t xml:space="preserve">, republicată, cu modificările şi completările ulterioare, şi al prevederilor art. 11 alin. (1) şi (4) din Hotărârea Guvernului nr. </w:t>
      </w:r>
      <w:r>
        <w:rPr>
          <w:rFonts w:ascii="Times New Roman"/>
          <w:b w:val="false"/>
          <w:i w:val="false"/>
          <w:color w:val="1b1b1b"/>
          <w:sz w:val="24"/>
          <w:lang w:val="ro-RO"/>
        </w:rPr>
        <w:t>90/2010</w:t>
      </w:r>
      <w:r>
        <w:rPr>
          <w:rFonts w:ascii="Times New Roman"/>
          <w:b w:val="false"/>
          <w:i w:val="false"/>
          <w:color w:val="000000"/>
          <w:sz w:val="24"/>
          <w:lang w:val="ro-RO"/>
        </w:rPr>
        <w:t xml:space="preserve"> privind organizarea şi funcţionarea Ministerului Culturii, cu modificările şi completările ulterioare,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ro-RO"/>
        </w:rPr>
        <w:t>ministrul culturii</w:t>
      </w:r>
      <w:r>
        <w:rPr>
          <w:rFonts w:ascii="Times New Roman"/>
          <w:b w:val="false"/>
          <w:i w:val="false"/>
          <w:color w:val="000000"/>
          <w:sz w:val="24"/>
          <w:lang w:val="ro-RO"/>
        </w:rPr>
        <w:t xml:space="preserve"> emite prezentul ordin.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ro-RO"/>
        </w:rPr>
        <w:t xml:space="preserve">Art. 1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>Se reacreditează Muzeul Naţional de Artă al României, cu sediul în municipiul Bucureşti, sectorul 1, Calea Victoriei nr. 49-53, cod poştal 010063.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ro-RO"/>
        </w:rPr>
        <w:t xml:space="preserve">Art. 2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>Prezentul ordin se publică în Monitorul Oficial al României, Partea 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>-****-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10580"/>
      </w:tblGrid>
      <w:tr>
        <w:trPr>
          <w:trHeight w:val="45" w:hRule="atLeast"/>
        </w:trPr>
        <w:tc>
          <w:tcPr>
            <w:tcW w:w="1058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25"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ro-RO"/>
              </w:rPr>
              <w:t>p. Ministrul culturii,</w:t>
            </w:r>
          </w:p>
          <w:p>
            <w:pPr>
              <w:spacing w:before="25" w:after="0"/>
              <w:ind w:left="0"/>
              <w:jc w:val="left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ro-RO"/>
              </w:rPr>
              <w:t>Diana-Ştefana Baciuna</w:t>
            </w:r>
            <w:r>
              <w:rPr>
                <w:rFonts w:ascii="Times New Roman"/>
                <w:b w:val="false"/>
                <w:i w:val="false"/>
                <w:color w:val="000000"/>
                <w:sz w:val="24"/>
                <w:lang w:val="ro-RO"/>
              </w:rPr>
              <w:t>,</w:t>
            </w:r>
          </w:p>
          <w:p>
            <w:pPr>
              <w:spacing w:before="25"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ro-RO"/>
              </w:rPr>
              <w:t>secretar de stat</w:t>
            </w:r>
          </w:p>
        </w:tc>
      </w:tr>
    </w:tbl>
    <w:p>
      <w:pPr>
        <w:spacing w:before="26" w:after="24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ro-RO"/>
        </w:rPr>
        <w:t>Publicat în Monitorul Oficial cu numărul 1126 din data de 12 noiembrie 2024</w:t>
      </w:r>
    </w:p>
    <w:sectPr>
      <w:headerReference w:type="default" r:id="rId4"/>
      <w:pgSz w:w="11907" w:h="16839" w:code="9"/>
      <w:pgMar w:top="1440" w:right="1440" w:bottom="144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Borders>
        <w:bottom w:val="single" w:color="FFFFFF" w:space="800"/>
      </w:tblBorders>
    </w:tblPr>
    <w:tblGrid>
      <w:gridCol w:w="4513"/>
      <w:gridCol w:w="4513"/>
    </w:tblGrid>
    <w:tr>
      <w:trPr>
        <w:trHeight w:val="2000" w:hRule="exact"/>
      </w:trPr>
      <w:tc>
        <w:tcPr>
          <w:tcW w:w="4513" w:type="dxa"/>
        </w:tcPr>
        <w:p/>
        <w:p>
          <w:r>
            <w:drawing>
              <wp:inline distT="0" distB="0" distL="0" distR="0">
                <wp:extent cx="1250000" cy="350000"/>
                <wp:effectExtent l="0" t="0" r="0" b="0"/>
                <wp:docPr id="1" name="logo" descr="logo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000" cy="3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</w:tcPr>
        <w:p/>
        <w:p>
          <w:pPr>
            <w:jc w:val="right"/>
          </w:pPr>
          <w:r>
            <w:t>30.01.2025</w:t>
          </w:r>
        </w:p>
      </w:tc>
    </w:tr>
  </w:tbl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ro-RO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header.xml" Type="http://schemas.openxmlformats.org/officeDocument/2006/relationships/head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